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A2F98A" w14:textId="77777777" w:rsidR="007B64ED" w:rsidRDefault="007B64ED" w:rsidP="007B64ED">
      <w:pPr>
        <w:widowControl w:val="0"/>
        <w:jc w:val="both"/>
        <w:rPr>
          <w:rFonts w:ascii="Arial" w:hAnsi="Arial" w:cs="Arial"/>
          <w:b/>
          <w:bCs/>
        </w:rPr>
      </w:pPr>
    </w:p>
    <w:p w14:paraId="004C14CE" w14:textId="77777777" w:rsidR="007B64ED" w:rsidRPr="007B64ED" w:rsidRDefault="007B64ED" w:rsidP="007B64ED">
      <w:pPr>
        <w:widowControl w:val="0"/>
        <w:spacing w:after="240"/>
        <w:jc w:val="right"/>
        <w:rPr>
          <w:rFonts w:ascii="Arial" w:hAnsi="Arial" w:cs="Arial"/>
          <w:bCs/>
          <w:sz w:val="22"/>
          <w:szCs w:val="22"/>
        </w:rPr>
      </w:pPr>
      <w:r w:rsidRPr="007B64ED">
        <w:rPr>
          <w:rFonts w:ascii="Arial" w:hAnsi="Arial" w:cs="Arial"/>
          <w:bCs/>
          <w:sz w:val="22"/>
          <w:szCs w:val="22"/>
        </w:rPr>
        <w:t>Załącznik nr 1 do zapytania ofertowego</w:t>
      </w:r>
    </w:p>
    <w:p w14:paraId="01C6C502" w14:textId="77777777" w:rsidR="0006118C" w:rsidRDefault="007B64ED" w:rsidP="007B64ED">
      <w:pPr>
        <w:widowControl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OPIS PRZEDMIOTU ZAMÓWIENIA</w:t>
      </w:r>
    </w:p>
    <w:p w14:paraId="41808A9C" w14:textId="77777777" w:rsidR="00692752" w:rsidRPr="0006118C" w:rsidRDefault="00692752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</w:p>
    <w:p w14:paraId="7B526350" w14:textId="77777777" w:rsidR="007B64ED" w:rsidRDefault="0006118C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  <w:r w:rsidRPr="0006118C">
        <w:rPr>
          <w:rFonts w:ascii="Arial" w:hAnsi="Arial" w:cs="Arial"/>
          <w:b/>
          <w:bCs/>
        </w:rPr>
        <w:t>Przedmiot zamówienia:</w:t>
      </w:r>
    </w:p>
    <w:p w14:paraId="22B9007B" w14:textId="77777777" w:rsidR="0006118C" w:rsidRPr="0006118C" w:rsidRDefault="00A33866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</w:t>
      </w:r>
      <w:r w:rsidR="0006118C" w:rsidRPr="0006118C">
        <w:rPr>
          <w:rFonts w:ascii="Arial" w:hAnsi="Arial" w:cs="Arial"/>
        </w:rPr>
        <w:t>ostawa oraz montaż energooszczędnych opraw oświetleniowych we wszystkich pomieszczeniach budynku biurowego zlokalizowanego w Bielsku-Białej przy ul. Czechowickiej 43.</w:t>
      </w:r>
    </w:p>
    <w:p w14:paraId="2E543172" w14:textId="77777777" w:rsidR="0006118C" w:rsidRPr="0006118C" w:rsidRDefault="000C5B0F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58941223">
          <v:rect id="_x0000_i1025" style="width:0;height:1.5pt" o:hralign="center" o:hrstd="t" o:hr="t" fillcolor="#a0a0a0" stroked="f"/>
        </w:pict>
      </w:r>
    </w:p>
    <w:p w14:paraId="6EF9B62E" w14:textId="77777777" w:rsidR="0006118C" w:rsidRPr="0006118C" w:rsidRDefault="0006118C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  <w:r w:rsidRPr="0006118C">
        <w:rPr>
          <w:rFonts w:ascii="Arial" w:hAnsi="Arial" w:cs="Arial"/>
          <w:b/>
          <w:bCs/>
        </w:rPr>
        <w:t>1. Charakterystyka obiektu</w:t>
      </w:r>
    </w:p>
    <w:p w14:paraId="7CCF05C2" w14:textId="77777777" w:rsidR="0006118C" w:rsidRPr="0006118C" w:rsidRDefault="0006118C" w:rsidP="007B64ED">
      <w:pPr>
        <w:widowControl w:val="0"/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rodzaj budynku: biurowy, </w:t>
      </w:r>
    </w:p>
    <w:p w14:paraId="2D1CD7D7" w14:textId="77777777" w:rsidR="0006118C" w:rsidRPr="0006118C" w:rsidRDefault="0006118C" w:rsidP="007B64ED">
      <w:pPr>
        <w:widowControl w:val="0"/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liczba kondygnacji: 4 nadziemne + 1 podziemna (piwnica), </w:t>
      </w:r>
    </w:p>
    <w:p w14:paraId="46913064" w14:textId="77777777" w:rsidR="0006118C" w:rsidRPr="0006118C" w:rsidRDefault="0006118C" w:rsidP="007B64ED">
      <w:pPr>
        <w:widowControl w:val="0"/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konstrukcja: słupowo–ryglowa, ściany zewnętrzne murowane, stropy z </w:t>
      </w:r>
      <w:r w:rsidR="007B64ED">
        <w:rPr>
          <w:rFonts w:ascii="Arial" w:hAnsi="Arial" w:cs="Arial"/>
        </w:rPr>
        <w:t>p</w:t>
      </w:r>
      <w:r w:rsidRPr="0006118C">
        <w:rPr>
          <w:rFonts w:ascii="Arial" w:hAnsi="Arial" w:cs="Arial"/>
        </w:rPr>
        <w:t xml:space="preserve">refabrykowanych płyt kanałowych. </w:t>
      </w:r>
    </w:p>
    <w:p w14:paraId="4AFA4BA3" w14:textId="77777777" w:rsidR="0006118C" w:rsidRPr="0006118C" w:rsidRDefault="0006118C" w:rsidP="007B64ED">
      <w:pPr>
        <w:widowControl w:val="0"/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>Rzuty wszystkich kondygnacji stanowią załącznik do dokumentacji.</w:t>
      </w:r>
    </w:p>
    <w:p w14:paraId="7F3487D9" w14:textId="77777777" w:rsidR="0006118C" w:rsidRPr="0006118C" w:rsidRDefault="000C5B0F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4388B8E2">
          <v:rect id="_x0000_i1026" style="width:0;height:1.5pt" o:hralign="center" o:hrstd="t" o:hr="t" fillcolor="#a0a0a0" stroked="f"/>
        </w:pict>
      </w:r>
    </w:p>
    <w:p w14:paraId="1D4C95A8" w14:textId="77777777" w:rsidR="0006118C" w:rsidRPr="0006118C" w:rsidRDefault="0006118C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  <w:r w:rsidRPr="0006118C">
        <w:rPr>
          <w:rFonts w:ascii="Arial" w:hAnsi="Arial" w:cs="Arial"/>
          <w:b/>
          <w:bCs/>
        </w:rPr>
        <w:t>2. Zakres prac</w:t>
      </w:r>
    </w:p>
    <w:p w14:paraId="1E161165" w14:textId="77777777" w:rsidR="0006118C" w:rsidRPr="0006118C" w:rsidRDefault="0006118C" w:rsidP="007B64ED">
      <w:pPr>
        <w:widowControl w:val="0"/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>Zakres zamówienia obejmuje w szczególności:</w:t>
      </w:r>
    </w:p>
    <w:p w14:paraId="4FA60E7B" w14:textId="77777777" w:rsidR="0006118C" w:rsidRPr="0006118C" w:rsidRDefault="0006118C" w:rsidP="007B64ED">
      <w:pPr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opracowanie projektu oświetlenia zapewniającego prawidłowe oświetlenie wszystkich pomieszczeń, zgodnie z ich przeznaczeniem oraz obowiązującymi przepisami i normami, </w:t>
      </w:r>
    </w:p>
    <w:p w14:paraId="308666C4" w14:textId="77777777" w:rsidR="0006118C" w:rsidRPr="0006118C" w:rsidRDefault="0006118C" w:rsidP="007B64ED">
      <w:pPr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dostawę i montaż kompletu opraw oświetleniowych we wszystkich pomieszczeniach budynku, </w:t>
      </w:r>
    </w:p>
    <w:p w14:paraId="2F213E21" w14:textId="77777777" w:rsidR="0006118C" w:rsidRPr="0006118C" w:rsidRDefault="0006118C" w:rsidP="007B64ED">
      <w:pPr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montaż opraw bezpośrednio do sufitów i ścian, w stylistyce loft, zgodnie z wizualizacjami stanowiącymi załącznik do dokumentacji przetargowej, </w:t>
      </w:r>
    </w:p>
    <w:p w14:paraId="2959320F" w14:textId="77777777" w:rsidR="0006118C" w:rsidRPr="0006118C" w:rsidRDefault="0006118C" w:rsidP="007B64ED">
      <w:pPr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wykonanie pomiarów natężenia oświetlenia, </w:t>
      </w:r>
    </w:p>
    <w:p w14:paraId="5DE23A85" w14:textId="77777777" w:rsidR="0006118C" w:rsidRPr="0006118C" w:rsidRDefault="0006118C" w:rsidP="007B64ED">
      <w:pPr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przygotowanie </w:t>
      </w:r>
      <w:r w:rsidR="00A33866">
        <w:rPr>
          <w:rFonts w:ascii="Arial" w:hAnsi="Arial" w:cs="Arial"/>
        </w:rPr>
        <w:t xml:space="preserve">kompletnej </w:t>
      </w:r>
      <w:r w:rsidRPr="0006118C">
        <w:rPr>
          <w:rFonts w:ascii="Arial" w:hAnsi="Arial" w:cs="Arial"/>
        </w:rPr>
        <w:t xml:space="preserve">dokumentacji powykonawczej, w tym atestów, deklaracji oraz innych dokumentów niezbędnych do odbioru robót. </w:t>
      </w:r>
    </w:p>
    <w:p w14:paraId="4AEBEEAF" w14:textId="77777777" w:rsidR="0006118C" w:rsidRPr="0006118C" w:rsidRDefault="000C5B0F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6F298CB7">
          <v:rect id="_x0000_i1027" style="width:0;height:1.5pt" o:hralign="center" o:hrstd="t" o:hr="t" fillcolor="#a0a0a0" stroked="f"/>
        </w:pict>
      </w:r>
    </w:p>
    <w:p w14:paraId="58309EC4" w14:textId="77777777" w:rsidR="0006118C" w:rsidRPr="0006118C" w:rsidRDefault="0006118C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  <w:r w:rsidRPr="0006118C">
        <w:rPr>
          <w:rFonts w:ascii="Arial" w:hAnsi="Arial" w:cs="Arial"/>
          <w:b/>
          <w:bCs/>
        </w:rPr>
        <w:t>3. Wymagania techniczne ogólne</w:t>
      </w:r>
    </w:p>
    <w:p w14:paraId="5C47B452" w14:textId="77777777" w:rsidR="0006118C" w:rsidRPr="0006118C" w:rsidRDefault="0006118C" w:rsidP="007B64ED">
      <w:pPr>
        <w:widowControl w:val="0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oprawy oświetleniowe w technologii LED, </w:t>
      </w:r>
    </w:p>
    <w:p w14:paraId="45DD95F0" w14:textId="77777777" w:rsidR="0006118C" w:rsidRPr="0006118C" w:rsidRDefault="0006118C" w:rsidP="007B64ED">
      <w:pPr>
        <w:widowControl w:val="0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oprawy natynkowe w kolorze czarnym matowym, </w:t>
      </w:r>
    </w:p>
    <w:p w14:paraId="60CE0475" w14:textId="77777777" w:rsidR="0006118C" w:rsidRPr="0006118C" w:rsidRDefault="0006118C" w:rsidP="007B64ED">
      <w:pPr>
        <w:widowControl w:val="0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temperatura barwowa światła: neutralna (ok. 4000 K), </w:t>
      </w:r>
    </w:p>
    <w:p w14:paraId="5A8DE866" w14:textId="77777777" w:rsidR="0006118C" w:rsidRPr="0006118C" w:rsidRDefault="0006118C" w:rsidP="007B64ED">
      <w:pPr>
        <w:widowControl w:val="0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preferowane </w:t>
      </w:r>
      <w:r w:rsidR="00DD6738">
        <w:rPr>
          <w:rFonts w:ascii="Arial" w:hAnsi="Arial" w:cs="Arial"/>
        </w:rPr>
        <w:t xml:space="preserve">oprawy ze </w:t>
      </w:r>
      <w:r w:rsidRPr="0006118C">
        <w:rPr>
          <w:rFonts w:ascii="Arial" w:hAnsi="Arial" w:cs="Arial"/>
        </w:rPr>
        <w:t>zintegrowan</w:t>
      </w:r>
      <w:r w:rsidR="00DD6738">
        <w:rPr>
          <w:rFonts w:ascii="Arial" w:hAnsi="Arial" w:cs="Arial"/>
        </w:rPr>
        <w:t xml:space="preserve">ym źródłem światła LED, </w:t>
      </w:r>
      <w:r w:rsidRPr="0006118C">
        <w:rPr>
          <w:rFonts w:ascii="Arial" w:hAnsi="Arial" w:cs="Arial"/>
        </w:rPr>
        <w:t xml:space="preserve"> pod warunkiem </w:t>
      </w:r>
      <w:r w:rsidRPr="0006118C">
        <w:rPr>
          <w:rFonts w:ascii="Arial" w:hAnsi="Arial" w:cs="Arial"/>
        </w:rPr>
        <w:lastRenderedPageBreak/>
        <w:t>zachowania wymaganej efektywności energetycznej</w:t>
      </w:r>
      <w:r w:rsidR="00DD6738">
        <w:rPr>
          <w:rFonts w:ascii="Arial" w:hAnsi="Arial" w:cs="Arial"/>
        </w:rPr>
        <w:t xml:space="preserve"> (nie gorszej niż w oprawach z wymiennym źródłem światła).</w:t>
      </w:r>
    </w:p>
    <w:p w14:paraId="1119807A" w14:textId="77777777" w:rsidR="0006118C" w:rsidRPr="0006118C" w:rsidRDefault="0006118C" w:rsidP="007B64ED">
      <w:pPr>
        <w:widowControl w:val="0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w pomieszczeniach mokrych należy stosować oprawy o odpowiednim stopniu ochrony IP, zgodnie z obowiązującymi normami. </w:t>
      </w:r>
    </w:p>
    <w:p w14:paraId="1A627F9F" w14:textId="77777777" w:rsidR="0006118C" w:rsidRPr="0006118C" w:rsidRDefault="000C5B0F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280847C9">
          <v:rect id="_x0000_i1028" style="width:0;height:1.5pt" o:hralign="center" o:hrstd="t" o:hr="t" fillcolor="#a0a0a0" stroked="f"/>
        </w:pict>
      </w:r>
    </w:p>
    <w:p w14:paraId="4FC6AC2F" w14:textId="77777777" w:rsidR="0006118C" w:rsidRDefault="0006118C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  <w:r w:rsidRPr="0006118C">
        <w:rPr>
          <w:rFonts w:ascii="Arial" w:hAnsi="Arial" w:cs="Arial"/>
          <w:b/>
          <w:bCs/>
        </w:rPr>
        <w:t>4. Typy opraw oświetleniowych</w:t>
      </w:r>
    </w:p>
    <w:p w14:paraId="13C87479" w14:textId="77777777" w:rsidR="00692752" w:rsidRPr="0006118C" w:rsidRDefault="00692752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</w:p>
    <w:p w14:paraId="0C2900EE" w14:textId="77777777" w:rsidR="0006118C" w:rsidRPr="0006118C" w:rsidRDefault="0006118C" w:rsidP="007B64ED">
      <w:pPr>
        <w:widowControl w:val="0"/>
        <w:spacing w:line="360" w:lineRule="auto"/>
        <w:jc w:val="both"/>
        <w:rPr>
          <w:rFonts w:ascii="Arial" w:hAnsi="Arial" w:cs="Arial"/>
          <w:u w:val="single"/>
        </w:rPr>
      </w:pPr>
      <w:r w:rsidRPr="0006118C">
        <w:rPr>
          <w:rFonts w:ascii="Arial" w:hAnsi="Arial" w:cs="Arial"/>
          <w:b/>
          <w:bCs/>
          <w:u w:val="single"/>
        </w:rPr>
        <w:t>I</w:t>
      </w:r>
      <w:r w:rsidRPr="0006118C">
        <w:rPr>
          <w:rFonts w:ascii="Arial" w:hAnsi="Arial" w:cs="Arial"/>
          <w:u w:val="single"/>
        </w:rPr>
        <w:t>. Oprawy sufitowe typu tuba (oświetlenie ogólne)</w:t>
      </w:r>
    </w:p>
    <w:p w14:paraId="1C155C11" w14:textId="77777777" w:rsidR="0006118C" w:rsidRPr="0006118C" w:rsidRDefault="0006118C" w:rsidP="007B64ED">
      <w:pPr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typ: TUBA NT, </w:t>
      </w:r>
    </w:p>
    <w:p w14:paraId="7A79B517" w14:textId="77777777" w:rsidR="0006118C" w:rsidRPr="0006118C" w:rsidRDefault="0006118C" w:rsidP="007B64ED">
      <w:pPr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moc: 8–12 W, </w:t>
      </w:r>
    </w:p>
    <w:p w14:paraId="2A25270C" w14:textId="77777777" w:rsidR="0006118C" w:rsidRPr="0006118C" w:rsidRDefault="0006118C" w:rsidP="007B64ED">
      <w:pPr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strumień świetlny: 800–1200 lm, </w:t>
      </w:r>
    </w:p>
    <w:p w14:paraId="6E57BC37" w14:textId="77777777" w:rsidR="0006118C" w:rsidRPr="0006118C" w:rsidRDefault="0006118C" w:rsidP="007B64ED">
      <w:pPr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stopień ochrony IP: zgodny z przeznaczeniem pomieszczenia, </w:t>
      </w:r>
    </w:p>
    <w:p w14:paraId="36DC8769" w14:textId="77777777" w:rsidR="0006118C" w:rsidRPr="0006118C" w:rsidRDefault="0006118C" w:rsidP="007B64ED">
      <w:pPr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wymiary: </w:t>
      </w:r>
    </w:p>
    <w:p w14:paraId="4543A3AE" w14:textId="77777777" w:rsidR="0006118C" w:rsidRPr="0006118C" w:rsidRDefault="0006118C" w:rsidP="007B64ED">
      <w:pPr>
        <w:widowControl w:val="0"/>
        <w:numPr>
          <w:ilvl w:val="1"/>
          <w:numId w:val="14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średnica: 115 mm ± 5 mm, </w:t>
      </w:r>
    </w:p>
    <w:p w14:paraId="4EEB3090" w14:textId="77777777" w:rsidR="0006118C" w:rsidRPr="0006118C" w:rsidRDefault="0006118C" w:rsidP="007B64ED">
      <w:pPr>
        <w:widowControl w:val="0"/>
        <w:numPr>
          <w:ilvl w:val="1"/>
          <w:numId w:val="14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wysokość: 152 mm ± 5 mm, </w:t>
      </w:r>
    </w:p>
    <w:p w14:paraId="2FB2E2CC" w14:textId="77777777" w:rsidR="0006118C" w:rsidRPr="0006118C" w:rsidRDefault="0006118C" w:rsidP="007B64ED">
      <w:pPr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kąt świecenia: 40°, </w:t>
      </w:r>
    </w:p>
    <w:p w14:paraId="7CB387D1" w14:textId="77777777" w:rsidR="0006118C" w:rsidRPr="0006118C" w:rsidRDefault="0006118C" w:rsidP="007B64ED">
      <w:pPr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UGR &lt; 19, CRI (Ra) &gt; 90, </w:t>
      </w:r>
    </w:p>
    <w:p w14:paraId="0E6E69B8" w14:textId="77777777" w:rsidR="0006118C" w:rsidRPr="0006118C" w:rsidRDefault="0006118C" w:rsidP="007B64ED">
      <w:pPr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temperatura barwowa: 4000 K ± 100 K, </w:t>
      </w:r>
    </w:p>
    <w:p w14:paraId="3CDA7702" w14:textId="77777777" w:rsidR="0006118C" w:rsidRPr="0006118C" w:rsidRDefault="0006118C" w:rsidP="007B64ED">
      <w:pPr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kolor: czarny matowy, </w:t>
      </w:r>
    </w:p>
    <w:p w14:paraId="2414664A" w14:textId="77777777" w:rsidR="0006118C" w:rsidRPr="0006118C" w:rsidRDefault="0006118C" w:rsidP="007B64ED">
      <w:pPr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w pomieszczeniach na III piętrze (ze skosami) należy zastosować oprawy na zawiesiach lub z możliwością regulacji kierunku świecenia. </w:t>
      </w:r>
    </w:p>
    <w:p w14:paraId="3DA4E133" w14:textId="77777777" w:rsidR="0006118C" w:rsidRPr="0006118C" w:rsidRDefault="000C5B0F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60B6B4DF">
          <v:rect id="_x0000_i1029" style="width:0;height:1.5pt" o:hralign="center" o:hrstd="t" o:hr="t" fillcolor="#a0a0a0" stroked="f"/>
        </w:pict>
      </w:r>
    </w:p>
    <w:p w14:paraId="796043D5" w14:textId="77777777" w:rsidR="0006118C" w:rsidRPr="0006118C" w:rsidRDefault="0006118C" w:rsidP="007B64ED">
      <w:pPr>
        <w:widowControl w:val="0"/>
        <w:spacing w:line="360" w:lineRule="auto"/>
        <w:jc w:val="both"/>
        <w:rPr>
          <w:rFonts w:ascii="Arial" w:hAnsi="Arial" w:cs="Arial"/>
          <w:u w:val="single"/>
        </w:rPr>
      </w:pPr>
      <w:r w:rsidRPr="0006118C">
        <w:rPr>
          <w:rFonts w:ascii="Arial" w:hAnsi="Arial" w:cs="Arial"/>
          <w:u w:val="single"/>
        </w:rPr>
        <w:t>II. Oprawy liniowe nadbiurkowe (zawieszane)</w:t>
      </w:r>
    </w:p>
    <w:p w14:paraId="7D172834" w14:textId="77777777" w:rsidR="0006118C" w:rsidRPr="0006118C" w:rsidRDefault="0006118C" w:rsidP="007B64ED">
      <w:pPr>
        <w:widowControl w:val="0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typ: oprawa liniowa zawieszana, rastrowa, </w:t>
      </w:r>
    </w:p>
    <w:p w14:paraId="7C6E4D65" w14:textId="77777777" w:rsidR="0006118C" w:rsidRPr="0006118C" w:rsidRDefault="0006118C" w:rsidP="007B64ED">
      <w:pPr>
        <w:widowControl w:val="0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moc: ok. 10 W, </w:t>
      </w:r>
    </w:p>
    <w:p w14:paraId="2E9C1B4C" w14:textId="77777777" w:rsidR="0006118C" w:rsidRPr="0006118C" w:rsidRDefault="0006118C" w:rsidP="007B64ED">
      <w:pPr>
        <w:widowControl w:val="0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strumień świetlny: ok. 1500 lm, </w:t>
      </w:r>
    </w:p>
    <w:p w14:paraId="35CFF2F9" w14:textId="77777777" w:rsidR="0006118C" w:rsidRPr="0006118C" w:rsidRDefault="0006118C" w:rsidP="007B64ED">
      <w:pPr>
        <w:widowControl w:val="0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stopień ochrony IP: zgodny z przeznaczeniem pomieszczenia, </w:t>
      </w:r>
    </w:p>
    <w:p w14:paraId="05A9156D" w14:textId="77777777" w:rsidR="0006118C" w:rsidRPr="0006118C" w:rsidRDefault="0006118C" w:rsidP="007B64ED">
      <w:pPr>
        <w:widowControl w:val="0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wymiary: </w:t>
      </w:r>
    </w:p>
    <w:p w14:paraId="42A79757" w14:textId="77777777" w:rsidR="0006118C" w:rsidRPr="0006118C" w:rsidRDefault="0006118C" w:rsidP="007B64ED">
      <w:pPr>
        <w:widowControl w:val="0"/>
        <w:numPr>
          <w:ilvl w:val="1"/>
          <w:numId w:val="15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szerokość: 50 mm ± 5 mm, </w:t>
      </w:r>
    </w:p>
    <w:p w14:paraId="3265CCE8" w14:textId="77777777" w:rsidR="0006118C" w:rsidRPr="0006118C" w:rsidRDefault="0006118C" w:rsidP="007B64ED">
      <w:pPr>
        <w:widowControl w:val="0"/>
        <w:numPr>
          <w:ilvl w:val="1"/>
          <w:numId w:val="15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wysokość: 65 mm ± 5 mm, </w:t>
      </w:r>
    </w:p>
    <w:p w14:paraId="0672B421" w14:textId="77777777" w:rsidR="0006118C" w:rsidRPr="0006118C" w:rsidRDefault="0006118C" w:rsidP="007B64ED">
      <w:pPr>
        <w:widowControl w:val="0"/>
        <w:numPr>
          <w:ilvl w:val="1"/>
          <w:numId w:val="15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długość: 1120 mm ± 5 mm (z możliwością łączenia w linie), </w:t>
      </w:r>
    </w:p>
    <w:p w14:paraId="79751347" w14:textId="77777777" w:rsidR="0006118C" w:rsidRPr="0006118C" w:rsidRDefault="0006118C" w:rsidP="007B64ED">
      <w:pPr>
        <w:widowControl w:val="0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temperatura barwowa: 4000 K ± 100 K, </w:t>
      </w:r>
    </w:p>
    <w:p w14:paraId="1B717AF7" w14:textId="77777777" w:rsidR="0006118C" w:rsidRPr="0006118C" w:rsidRDefault="0006118C" w:rsidP="007B64ED">
      <w:pPr>
        <w:widowControl w:val="0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UGR &lt; 19, </w:t>
      </w:r>
    </w:p>
    <w:p w14:paraId="6B87060F" w14:textId="77777777" w:rsidR="0006118C" w:rsidRPr="0006118C" w:rsidRDefault="0006118C" w:rsidP="007B64ED">
      <w:pPr>
        <w:widowControl w:val="0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kolor: czarny matowy. </w:t>
      </w:r>
    </w:p>
    <w:p w14:paraId="36004D5C" w14:textId="77777777" w:rsidR="0006118C" w:rsidRPr="0006118C" w:rsidRDefault="000C5B0F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pict w14:anchorId="5C45BA75">
          <v:rect id="_x0000_i1030" style="width:0;height:1.5pt" o:hralign="center" o:hrstd="t" o:hr="t" fillcolor="#a0a0a0" stroked="f"/>
        </w:pict>
      </w:r>
    </w:p>
    <w:p w14:paraId="44A48914" w14:textId="77777777" w:rsidR="0006118C" w:rsidRPr="0006118C" w:rsidRDefault="0006118C" w:rsidP="007B64ED">
      <w:pPr>
        <w:widowControl w:val="0"/>
        <w:spacing w:line="360" w:lineRule="auto"/>
        <w:jc w:val="both"/>
        <w:rPr>
          <w:rFonts w:ascii="Arial" w:hAnsi="Arial" w:cs="Arial"/>
          <w:u w:val="single"/>
        </w:rPr>
      </w:pPr>
      <w:r w:rsidRPr="0006118C">
        <w:rPr>
          <w:rFonts w:ascii="Arial" w:hAnsi="Arial" w:cs="Arial"/>
          <w:u w:val="single"/>
        </w:rPr>
        <w:t>III. Oświetlenie pomieszczeń technicznych i gospodarczych</w:t>
      </w:r>
    </w:p>
    <w:p w14:paraId="772BA91E" w14:textId="77777777" w:rsidR="0006118C" w:rsidRPr="0006118C" w:rsidRDefault="0006118C" w:rsidP="007B64ED">
      <w:pPr>
        <w:widowControl w:val="0"/>
        <w:numPr>
          <w:ilvl w:val="0"/>
          <w:numId w:val="16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typ: oprawy szerokostrumieniowe, </w:t>
      </w:r>
    </w:p>
    <w:p w14:paraId="6103D078" w14:textId="77777777" w:rsidR="0006118C" w:rsidRPr="0006118C" w:rsidRDefault="0006118C" w:rsidP="007B64ED">
      <w:pPr>
        <w:widowControl w:val="0"/>
        <w:numPr>
          <w:ilvl w:val="0"/>
          <w:numId w:val="16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strumień świetlny: 6000–7400 lm, </w:t>
      </w:r>
    </w:p>
    <w:p w14:paraId="6A616D13" w14:textId="77777777" w:rsidR="0006118C" w:rsidRPr="0006118C" w:rsidRDefault="0006118C" w:rsidP="007B64ED">
      <w:pPr>
        <w:widowControl w:val="0"/>
        <w:numPr>
          <w:ilvl w:val="0"/>
          <w:numId w:val="16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moc: ok. 40 W, </w:t>
      </w:r>
    </w:p>
    <w:p w14:paraId="36A257CE" w14:textId="77777777" w:rsidR="0006118C" w:rsidRPr="0006118C" w:rsidRDefault="0006118C" w:rsidP="007B64ED">
      <w:pPr>
        <w:widowControl w:val="0"/>
        <w:numPr>
          <w:ilvl w:val="0"/>
          <w:numId w:val="16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stopień ochrony: IP66/IP69, </w:t>
      </w:r>
    </w:p>
    <w:p w14:paraId="0D0F54E1" w14:textId="77777777" w:rsidR="0006118C" w:rsidRPr="0006118C" w:rsidRDefault="0006118C" w:rsidP="007B64ED">
      <w:pPr>
        <w:widowControl w:val="0"/>
        <w:numPr>
          <w:ilvl w:val="0"/>
          <w:numId w:val="16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odporność mechaniczna: IK10, </w:t>
      </w:r>
    </w:p>
    <w:p w14:paraId="2037E374" w14:textId="77777777" w:rsidR="0006118C" w:rsidRPr="0006118C" w:rsidRDefault="0006118C" w:rsidP="007B64ED">
      <w:pPr>
        <w:widowControl w:val="0"/>
        <w:numPr>
          <w:ilvl w:val="0"/>
          <w:numId w:val="16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trwałość: min. L90B10 – 50 000 h, </w:t>
      </w:r>
    </w:p>
    <w:p w14:paraId="1B1D96F6" w14:textId="77777777" w:rsidR="0006118C" w:rsidRPr="0006118C" w:rsidRDefault="0006118C" w:rsidP="007B64ED">
      <w:pPr>
        <w:widowControl w:val="0"/>
        <w:numPr>
          <w:ilvl w:val="0"/>
          <w:numId w:val="16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wymiary dostosowane do charakteru pomieszczeń. </w:t>
      </w:r>
    </w:p>
    <w:p w14:paraId="59350939" w14:textId="77777777" w:rsidR="0006118C" w:rsidRPr="0006118C" w:rsidRDefault="000C5B0F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7A0F0679">
          <v:rect id="_x0000_i1031" style="width:0;height:1.5pt" o:hralign="center" o:hrstd="t" o:hr="t" fillcolor="#a0a0a0" stroked="f"/>
        </w:pict>
      </w:r>
    </w:p>
    <w:p w14:paraId="62AFAFD7" w14:textId="77777777" w:rsidR="0006118C" w:rsidRPr="0006118C" w:rsidRDefault="0006118C" w:rsidP="007B64ED">
      <w:pPr>
        <w:widowControl w:val="0"/>
        <w:spacing w:line="360" w:lineRule="auto"/>
        <w:jc w:val="both"/>
        <w:rPr>
          <w:rFonts w:ascii="Arial" w:hAnsi="Arial" w:cs="Arial"/>
          <w:u w:val="single"/>
        </w:rPr>
      </w:pPr>
      <w:r w:rsidRPr="0006118C">
        <w:rPr>
          <w:rFonts w:ascii="Arial" w:hAnsi="Arial" w:cs="Arial"/>
          <w:u w:val="single"/>
        </w:rPr>
        <w:t>IV. Kinkiety schodowe (UP/DOWN)</w:t>
      </w:r>
    </w:p>
    <w:p w14:paraId="08F9A6AC" w14:textId="77777777" w:rsidR="0006118C" w:rsidRPr="0006118C" w:rsidRDefault="0006118C" w:rsidP="007B64ED">
      <w:pPr>
        <w:widowControl w:val="0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typ: kinkiet listwowy ścienny UP/DOWN, </w:t>
      </w:r>
    </w:p>
    <w:p w14:paraId="6C7BC69C" w14:textId="77777777" w:rsidR="0006118C" w:rsidRPr="0006118C" w:rsidRDefault="0006118C" w:rsidP="007B64ED">
      <w:pPr>
        <w:widowControl w:val="0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strumień świetlny: ok. 500 lm, </w:t>
      </w:r>
    </w:p>
    <w:p w14:paraId="637F3C5D" w14:textId="77777777" w:rsidR="0006118C" w:rsidRPr="0006118C" w:rsidRDefault="0006118C" w:rsidP="007B64ED">
      <w:pPr>
        <w:widowControl w:val="0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długość: 78 mm ± 5 mm, </w:t>
      </w:r>
    </w:p>
    <w:p w14:paraId="233BB8FE" w14:textId="77777777" w:rsidR="0006118C" w:rsidRPr="0006118C" w:rsidRDefault="0006118C" w:rsidP="007B64ED">
      <w:pPr>
        <w:widowControl w:val="0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CRI (Ra) &gt; 90, </w:t>
      </w:r>
    </w:p>
    <w:p w14:paraId="4534AFC1" w14:textId="77777777" w:rsidR="0006118C" w:rsidRPr="0006118C" w:rsidRDefault="0006118C" w:rsidP="007B64ED">
      <w:pPr>
        <w:widowControl w:val="0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kolor: czarny matowy. </w:t>
      </w:r>
    </w:p>
    <w:p w14:paraId="114763E5" w14:textId="77777777" w:rsidR="0006118C" w:rsidRPr="0006118C" w:rsidRDefault="000C5B0F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2D784658">
          <v:rect id="_x0000_i1032" style="width:0;height:1.5pt" o:hralign="center" o:hrstd="t" o:hr="t" fillcolor="#a0a0a0" stroked="f"/>
        </w:pict>
      </w:r>
    </w:p>
    <w:p w14:paraId="7AD0076D" w14:textId="77777777" w:rsidR="0006118C" w:rsidRPr="0006118C" w:rsidRDefault="0006118C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  <w:r w:rsidRPr="0006118C">
        <w:rPr>
          <w:rFonts w:ascii="Arial" w:hAnsi="Arial" w:cs="Arial"/>
          <w:b/>
          <w:bCs/>
        </w:rPr>
        <w:t>5. Wymagania szczegółowe i jakościowe</w:t>
      </w:r>
    </w:p>
    <w:p w14:paraId="19B9EC7E" w14:textId="77777777" w:rsidR="0006118C" w:rsidRPr="0006118C" w:rsidRDefault="0006118C" w:rsidP="007B64ED">
      <w:pPr>
        <w:widowControl w:val="0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przed złożeniem zamówienia Wykonawca przedstawi Zamawiającemu co najmniej 3 propozycje opraw dla każdego typu, zgodne stylistycznie (styl loft), </w:t>
      </w:r>
    </w:p>
    <w:p w14:paraId="0CB2560C" w14:textId="77777777" w:rsidR="0006118C" w:rsidRPr="0006118C" w:rsidRDefault="0006118C" w:rsidP="007B64ED">
      <w:pPr>
        <w:widowControl w:val="0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oprawy muszą odpowiadać reprezentacyjnemu charakterowi budynku oraz spełniać wysokie wymagania estetyczne i jakościowe, </w:t>
      </w:r>
    </w:p>
    <w:p w14:paraId="309BCDA5" w14:textId="77777777" w:rsidR="0006118C" w:rsidRPr="0006118C" w:rsidRDefault="0006118C" w:rsidP="007B64ED">
      <w:pPr>
        <w:widowControl w:val="0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dobór opraw musi zostać potwierdzony obliczeniami </w:t>
      </w:r>
      <w:r w:rsidR="00A33866">
        <w:rPr>
          <w:rFonts w:ascii="Arial" w:hAnsi="Arial" w:cs="Arial"/>
        </w:rPr>
        <w:t xml:space="preserve">i projektem </w:t>
      </w:r>
      <w:r w:rsidRPr="0006118C">
        <w:rPr>
          <w:rFonts w:ascii="Arial" w:hAnsi="Arial" w:cs="Arial"/>
        </w:rPr>
        <w:t>wykonany</w:t>
      </w:r>
      <w:r w:rsidR="00A33866">
        <w:rPr>
          <w:rFonts w:ascii="Arial" w:hAnsi="Arial" w:cs="Arial"/>
        </w:rPr>
        <w:t>m</w:t>
      </w:r>
      <w:r w:rsidRPr="0006118C">
        <w:rPr>
          <w:rFonts w:ascii="Arial" w:hAnsi="Arial" w:cs="Arial"/>
        </w:rPr>
        <w:t xml:space="preserve"> w specjalistycznym oprogramowaniu (np. Dialux lub równoważnym), </w:t>
      </w:r>
    </w:p>
    <w:p w14:paraId="642D1120" w14:textId="77777777" w:rsidR="0006118C" w:rsidRPr="0006118C" w:rsidRDefault="0006118C" w:rsidP="007B64ED">
      <w:pPr>
        <w:widowControl w:val="0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wymagane parametry (w tym UGR) muszą być potwierdzone dokumentacją fotometryczną producenta oraz obliczeniami, </w:t>
      </w:r>
    </w:p>
    <w:p w14:paraId="2FF6DED4" w14:textId="77777777" w:rsidR="0006118C" w:rsidRPr="0006118C" w:rsidRDefault="0006118C" w:rsidP="007B64ED">
      <w:pPr>
        <w:widowControl w:val="0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należy zapewnić parametry oświetleniowe zgodne z obowiązującymi </w:t>
      </w:r>
      <w:r w:rsidR="00A33866">
        <w:rPr>
          <w:rFonts w:ascii="Arial" w:hAnsi="Arial" w:cs="Arial"/>
        </w:rPr>
        <w:t xml:space="preserve">polskimi </w:t>
      </w:r>
      <w:r w:rsidRPr="0006118C">
        <w:rPr>
          <w:rFonts w:ascii="Arial" w:hAnsi="Arial" w:cs="Arial"/>
        </w:rPr>
        <w:t xml:space="preserve">normami dla poszczególnych pomieszczeń, </w:t>
      </w:r>
    </w:p>
    <w:p w14:paraId="2CCF3B91" w14:textId="77777777" w:rsidR="00DD6738" w:rsidRPr="00DD6738" w:rsidRDefault="0006118C" w:rsidP="007B64ED">
      <w:pPr>
        <w:widowControl w:val="0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>system załączania opraw należy uzgodnić z Zamawiającym oddzielnie dla każdego pomieszczenia</w:t>
      </w:r>
      <w:r w:rsidR="00DD6738">
        <w:rPr>
          <w:rFonts w:ascii="Arial" w:hAnsi="Arial" w:cs="Arial"/>
        </w:rPr>
        <w:t>. W pomieszczeniu 0.5 (oddzielnie dla każdego z 4 modułów użytkowych) oraz w pomieszczeniach 3.4, 3.5 i 3.10 należy przewidzieć bezprzewodowe sterowanie natężenia światła</w:t>
      </w:r>
      <w:r w:rsidR="00A33866">
        <w:rPr>
          <w:rFonts w:ascii="Arial" w:hAnsi="Arial" w:cs="Arial"/>
        </w:rPr>
        <w:t>,</w:t>
      </w:r>
      <w:r w:rsidR="00DD6738">
        <w:rPr>
          <w:rFonts w:ascii="Arial" w:hAnsi="Arial" w:cs="Arial"/>
        </w:rPr>
        <w:t xml:space="preserve"> </w:t>
      </w:r>
    </w:p>
    <w:p w14:paraId="252CE745" w14:textId="77777777" w:rsidR="0006118C" w:rsidRPr="0006118C" w:rsidRDefault="0006118C" w:rsidP="007B64ED">
      <w:pPr>
        <w:widowControl w:val="0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>minimalna trwałość źródła światła: 50 000 h (L80/B10 lub równoważna</w:t>
      </w:r>
      <w:r w:rsidR="007B64ED">
        <w:rPr>
          <w:rFonts w:ascii="Arial" w:hAnsi="Arial" w:cs="Arial"/>
        </w:rPr>
        <w:t>)</w:t>
      </w:r>
      <w:r w:rsidRPr="0006118C">
        <w:rPr>
          <w:rFonts w:ascii="Arial" w:hAnsi="Arial" w:cs="Arial"/>
        </w:rPr>
        <w:t xml:space="preserve">, </w:t>
      </w:r>
    </w:p>
    <w:p w14:paraId="46B10161" w14:textId="77777777" w:rsidR="0006118C" w:rsidRPr="0006118C" w:rsidRDefault="0006118C" w:rsidP="007B64ED">
      <w:pPr>
        <w:widowControl w:val="0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oprawy powinny charakteryzować się niskimi kosztami eksploatacji i ograniczoną </w:t>
      </w:r>
      <w:r w:rsidRPr="0006118C">
        <w:rPr>
          <w:rFonts w:ascii="Arial" w:hAnsi="Arial" w:cs="Arial"/>
        </w:rPr>
        <w:lastRenderedPageBreak/>
        <w:t xml:space="preserve">koniecznością serwisowania, </w:t>
      </w:r>
    </w:p>
    <w:p w14:paraId="0F8ED2BD" w14:textId="77777777" w:rsidR="0006118C" w:rsidRPr="0006118C" w:rsidRDefault="0006118C" w:rsidP="007B64ED">
      <w:pPr>
        <w:widowControl w:val="0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zamówienie nie obejmuje instalacji elektrycznej (okablowania, łączników, czujników itp.), </w:t>
      </w:r>
    </w:p>
    <w:p w14:paraId="753750BB" w14:textId="6EDEFF44" w:rsidR="00DD6738" w:rsidRDefault="0006118C" w:rsidP="007B64ED">
      <w:pPr>
        <w:widowControl w:val="0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oprawy muszą posiadać deklarację zgodności CE oraz spełniać obowiązujące </w:t>
      </w:r>
      <w:r w:rsidR="00646C26" w:rsidRPr="00221B5E">
        <w:rPr>
          <w:rFonts w:ascii="Arial" w:hAnsi="Arial" w:cs="Arial"/>
        </w:rPr>
        <w:t>polskie</w:t>
      </w:r>
      <w:r w:rsidR="00646C26">
        <w:rPr>
          <w:rFonts w:ascii="Arial" w:hAnsi="Arial" w:cs="Arial"/>
        </w:rPr>
        <w:t xml:space="preserve"> </w:t>
      </w:r>
      <w:r w:rsidRPr="0006118C">
        <w:rPr>
          <w:rFonts w:ascii="Arial" w:hAnsi="Arial" w:cs="Arial"/>
        </w:rPr>
        <w:t>przepisy i normy,</w:t>
      </w:r>
    </w:p>
    <w:p w14:paraId="66211F5A" w14:textId="77777777" w:rsidR="0006118C" w:rsidRPr="0006118C" w:rsidRDefault="0006118C" w:rsidP="007B64ED">
      <w:pPr>
        <w:widowControl w:val="0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przed montażem wymagane jest zatwierdzenie kart materiałowych (KZM) przez Inspektora i Zamawiającego. </w:t>
      </w:r>
    </w:p>
    <w:p w14:paraId="1FBC9EA2" w14:textId="77777777" w:rsidR="0006118C" w:rsidRPr="0006118C" w:rsidRDefault="000C5B0F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7A2F7781">
          <v:rect id="_x0000_i1033" style="width:0;height:1.5pt" o:hralign="center" o:hrstd="t" o:hr="t" fillcolor="#a0a0a0" stroked="f"/>
        </w:pict>
      </w:r>
    </w:p>
    <w:p w14:paraId="221E65A6" w14:textId="77777777" w:rsidR="0006118C" w:rsidRPr="0006118C" w:rsidRDefault="0006118C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  <w:r w:rsidRPr="0006118C">
        <w:rPr>
          <w:rFonts w:ascii="Arial" w:hAnsi="Arial" w:cs="Arial"/>
          <w:b/>
          <w:bCs/>
        </w:rPr>
        <w:t>6. Termin realizacji</w:t>
      </w:r>
    </w:p>
    <w:p w14:paraId="032E5F02" w14:textId="77777777" w:rsidR="007B64ED" w:rsidRDefault="0006118C" w:rsidP="007B64ED">
      <w:pPr>
        <w:widowControl w:val="0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7B64ED">
        <w:rPr>
          <w:rFonts w:ascii="Arial" w:hAnsi="Arial" w:cs="Arial"/>
        </w:rPr>
        <w:t xml:space="preserve">planowany termin </w:t>
      </w:r>
      <w:r w:rsidR="00146B38" w:rsidRPr="007B64ED">
        <w:rPr>
          <w:rFonts w:ascii="Arial" w:hAnsi="Arial" w:cs="Arial"/>
        </w:rPr>
        <w:t>wykonania</w:t>
      </w:r>
      <w:r w:rsidRPr="007B64ED">
        <w:rPr>
          <w:rFonts w:ascii="Arial" w:hAnsi="Arial" w:cs="Arial"/>
        </w:rPr>
        <w:t xml:space="preserve"> prac: </w:t>
      </w:r>
      <w:r w:rsidR="00DD6738" w:rsidRPr="007B64ED">
        <w:rPr>
          <w:rFonts w:ascii="Arial" w:hAnsi="Arial" w:cs="Arial"/>
        </w:rPr>
        <w:t xml:space="preserve">15-25 kwietnia </w:t>
      </w:r>
      <w:r w:rsidR="00A33866" w:rsidRPr="007B64ED">
        <w:rPr>
          <w:rFonts w:ascii="Arial" w:hAnsi="Arial" w:cs="Arial"/>
        </w:rPr>
        <w:t xml:space="preserve">2026 r. </w:t>
      </w:r>
    </w:p>
    <w:p w14:paraId="24FF9111" w14:textId="77777777" w:rsidR="007B64ED" w:rsidRPr="007B64ED" w:rsidRDefault="00DD6738" w:rsidP="007B64ED">
      <w:pPr>
        <w:widowControl w:val="0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7B64ED">
        <w:rPr>
          <w:rFonts w:ascii="Arial" w:hAnsi="Arial" w:cs="Arial"/>
        </w:rPr>
        <w:t xml:space="preserve">projekt oświetlania należy przedstawić do 3 dni kalendarzowych </w:t>
      </w:r>
      <w:r w:rsidR="00146B38" w:rsidRPr="007B64ED">
        <w:rPr>
          <w:rFonts w:ascii="Arial" w:hAnsi="Arial" w:cs="Arial"/>
        </w:rPr>
        <w:t>od dnia rozpoczęcia wykonywania prac</w:t>
      </w:r>
      <w:r w:rsidR="007B64ED" w:rsidRPr="007B64ED">
        <w:rPr>
          <w:rFonts w:ascii="Arial" w:hAnsi="Arial" w:cs="Arial"/>
        </w:rPr>
        <w:t>.</w:t>
      </w:r>
    </w:p>
    <w:p w14:paraId="7B6CFBA3" w14:textId="77777777" w:rsidR="007B64ED" w:rsidRPr="00221B5E" w:rsidRDefault="007B64ED" w:rsidP="007B64ED">
      <w:pPr>
        <w:widowControl w:val="0"/>
        <w:spacing w:line="360" w:lineRule="auto"/>
        <w:ind w:left="360"/>
        <w:jc w:val="both"/>
        <w:rPr>
          <w:rFonts w:ascii="Arial" w:hAnsi="Arial" w:cs="Arial"/>
        </w:rPr>
      </w:pPr>
      <w:bookmarkStart w:id="0" w:name="_GoBack"/>
      <w:r w:rsidRPr="00221B5E">
        <w:rPr>
          <w:rFonts w:ascii="Arial" w:hAnsi="Arial" w:cs="Arial"/>
        </w:rPr>
        <w:t>W przypadku przekroczenia ww. terminów zamawiający przewiduje kary umowne w wysokości:</w:t>
      </w:r>
    </w:p>
    <w:p w14:paraId="1EFE917B" w14:textId="77777777" w:rsidR="007B64ED" w:rsidRPr="00221B5E" w:rsidRDefault="007B64ED" w:rsidP="007B64ED">
      <w:pPr>
        <w:widowControl w:val="0"/>
        <w:numPr>
          <w:ilvl w:val="0"/>
          <w:numId w:val="22"/>
        </w:numPr>
        <w:spacing w:line="360" w:lineRule="auto"/>
        <w:ind w:left="851"/>
        <w:jc w:val="both"/>
        <w:rPr>
          <w:rFonts w:ascii="Arial" w:hAnsi="Arial" w:cs="Arial"/>
        </w:rPr>
      </w:pPr>
      <w:r w:rsidRPr="00221B5E">
        <w:rPr>
          <w:rFonts w:ascii="Arial" w:hAnsi="Arial" w:cs="Arial"/>
        </w:rPr>
        <w:t xml:space="preserve">wykonania prac - 5000 zł za każdy dzień zwłoki, </w:t>
      </w:r>
    </w:p>
    <w:p w14:paraId="271FD980" w14:textId="77777777" w:rsidR="00DD6738" w:rsidRPr="00221B5E" w:rsidRDefault="007B64ED" w:rsidP="007B64ED">
      <w:pPr>
        <w:widowControl w:val="0"/>
        <w:numPr>
          <w:ilvl w:val="0"/>
          <w:numId w:val="22"/>
        </w:numPr>
        <w:spacing w:line="360" w:lineRule="auto"/>
        <w:ind w:left="851"/>
        <w:jc w:val="both"/>
        <w:rPr>
          <w:rFonts w:ascii="Arial" w:hAnsi="Arial" w:cs="Arial"/>
        </w:rPr>
      </w:pPr>
      <w:r w:rsidRPr="00221B5E">
        <w:rPr>
          <w:rFonts w:ascii="Arial" w:hAnsi="Arial" w:cs="Arial"/>
        </w:rPr>
        <w:t xml:space="preserve">przedstawienie projektu oświetlenia - </w:t>
      </w:r>
      <w:r w:rsidR="00A33866" w:rsidRPr="00221B5E">
        <w:rPr>
          <w:rFonts w:ascii="Arial" w:hAnsi="Arial" w:cs="Arial"/>
        </w:rPr>
        <w:t>1000 zł</w:t>
      </w:r>
      <w:r w:rsidRPr="00221B5E">
        <w:rPr>
          <w:rFonts w:ascii="Arial" w:hAnsi="Arial" w:cs="Arial"/>
        </w:rPr>
        <w:t xml:space="preserve"> za każdy dzień zwłoki</w:t>
      </w:r>
      <w:r w:rsidR="00A33866" w:rsidRPr="00221B5E">
        <w:rPr>
          <w:rFonts w:ascii="Arial" w:hAnsi="Arial" w:cs="Arial"/>
        </w:rPr>
        <w:t>.</w:t>
      </w:r>
    </w:p>
    <w:bookmarkEnd w:id="0"/>
    <w:p w14:paraId="0BE7D7B9" w14:textId="77777777" w:rsidR="0006118C" w:rsidRPr="0006118C" w:rsidRDefault="000C5B0F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0A089264">
          <v:rect id="_x0000_i1034" style="width:0;height:1.5pt" o:hralign="center" o:hrstd="t" o:hr="t" fillcolor="#a0a0a0" stroked="f"/>
        </w:pict>
      </w:r>
    </w:p>
    <w:p w14:paraId="584B8DFA" w14:textId="77777777" w:rsidR="0006118C" w:rsidRPr="0006118C" w:rsidRDefault="0006118C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  <w:r w:rsidRPr="0006118C">
        <w:rPr>
          <w:rFonts w:ascii="Arial" w:hAnsi="Arial" w:cs="Arial"/>
          <w:b/>
          <w:bCs/>
        </w:rPr>
        <w:t>7. Gwarancja</w:t>
      </w:r>
    </w:p>
    <w:p w14:paraId="65928B61" w14:textId="77777777" w:rsidR="0006118C" w:rsidRPr="0006118C" w:rsidRDefault="0006118C" w:rsidP="007B64ED">
      <w:pPr>
        <w:widowControl w:val="0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minimalny okres gwarancji: 5 lat, </w:t>
      </w:r>
    </w:p>
    <w:p w14:paraId="41FA0718" w14:textId="77777777" w:rsidR="0006118C" w:rsidRPr="0006118C" w:rsidRDefault="0006118C" w:rsidP="007B64ED">
      <w:pPr>
        <w:widowControl w:val="0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gwarancja obejmuje: </w:t>
      </w:r>
    </w:p>
    <w:p w14:paraId="2FEEEB0D" w14:textId="77777777" w:rsidR="0006118C" w:rsidRPr="0006118C" w:rsidRDefault="00692752" w:rsidP="007B64ED">
      <w:pPr>
        <w:widowControl w:val="0"/>
        <w:spacing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6118C" w:rsidRPr="0006118C">
        <w:rPr>
          <w:rFonts w:ascii="Arial" w:hAnsi="Arial" w:cs="Arial"/>
        </w:rPr>
        <w:t xml:space="preserve">oprawy, </w:t>
      </w:r>
    </w:p>
    <w:p w14:paraId="7BBC2890" w14:textId="77777777" w:rsidR="0006118C" w:rsidRPr="0006118C" w:rsidRDefault="00692752" w:rsidP="007B64ED">
      <w:pPr>
        <w:widowControl w:val="0"/>
        <w:spacing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6118C" w:rsidRPr="0006118C">
        <w:rPr>
          <w:rFonts w:ascii="Arial" w:hAnsi="Arial" w:cs="Arial"/>
        </w:rPr>
        <w:t xml:space="preserve">montaż, </w:t>
      </w:r>
    </w:p>
    <w:p w14:paraId="7C6D0A27" w14:textId="77777777" w:rsidR="0006118C" w:rsidRPr="0006118C" w:rsidRDefault="00692752" w:rsidP="007B64ED">
      <w:pPr>
        <w:widowControl w:val="0"/>
        <w:spacing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6118C" w:rsidRPr="0006118C">
        <w:rPr>
          <w:rFonts w:ascii="Arial" w:hAnsi="Arial" w:cs="Arial"/>
        </w:rPr>
        <w:t xml:space="preserve">układy zasilające, </w:t>
      </w:r>
    </w:p>
    <w:p w14:paraId="7E2B8575" w14:textId="77777777" w:rsidR="0006118C" w:rsidRPr="0006118C" w:rsidRDefault="00692752" w:rsidP="007B64ED">
      <w:pPr>
        <w:widowControl w:val="0"/>
        <w:spacing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6118C" w:rsidRPr="0006118C">
        <w:rPr>
          <w:rFonts w:ascii="Arial" w:hAnsi="Arial" w:cs="Arial"/>
        </w:rPr>
        <w:t>źródła światła</w:t>
      </w:r>
      <w:r>
        <w:rPr>
          <w:rFonts w:ascii="Arial" w:hAnsi="Arial" w:cs="Arial"/>
        </w:rPr>
        <w:t>.</w:t>
      </w:r>
    </w:p>
    <w:p w14:paraId="66ABCD1E" w14:textId="77777777" w:rsidR="0006118C" w:rsidRPr="0006118C" w:rsidRDefault="0006118C" w:rsidP="007B64ED">
      <w:pPr>
        <w:widowControl w:val="0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dopuszcza się stosowanie zamienników renomowanych producentów dostępnych na rynku, bez konieczności stosowania komponentów jednego producenta, </w:t>
      </w:r>
    </w:p>
    <w:p w14:paraId="67E8DC3A" w14:textId="77777777" w:rsidR="0006118C" w:rsidRDefault="0006118C" w:rsidP="007B64ED">
      <w:pPr>
        <w:widowControl w:val="0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rozwiązanie musi zapewniać możliwość utrzymania instalacji w pełnej sprawności technicznej przez cały okres eksploatacji. </w:t>
      </w:r>
    </w:p>
    <w:p w14:paraId="6B557F39" w14:textId="77777777" w:rsidR="00A33866" w:rsidRPr="007B64ED" w:rsidRDefault="00A33866" w:rsidP="007B64ED">
      <w:pPr>
        <w:widowControl w:val="0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termin usunięcia usterki maksymalnie 1 dzień roboczy. </w:t>
      </w:r>
      <w:r w:rsidR="007B64ED">
        <w:rPr>
          <w:rFonts w:ascii="Arial" w:hAnsi="Arial" w:cs="Arial"/>
        </w:rPr>
        <w:t>Zamawiający przewiduje z</w:t>
      </w:r>
      <w:r w:rsidRPr="007B64ED">
        <w:rPr>
          <w:rFonts w:ascii="Arial" w:hAnsi="Arial" w:cs="Arial"/>
        </w:rPr>
        <w:t xml:space="preserve">a każdy dzień zwłoki </w:t>
      </w:r>
      <w:r w:rsidR="007B64ED">
        <w:rPr>
          <w:rFonts w:ascii="Arial" w:hAnsi="Arial" w:cs="Arial"/>
        </w:rPr>
        <w:t xml:space="preserve">w usunięciu usterki karę umowną w wysokości </w:t>
      </w:r>
      <w:r w:rsidRPr="007B64ED">
        <w:rPr>
          <w:rFonts w:ascii="Arial" w:hAnsi="Arial" w:cs="Arial"/>
        </w:rPr>
        <w:t xml:space="preserve">500 zł. </w:t>
      </w:r>
    </w:p>
    <w:p w14:paraId="49FEABF6" w14:textId="77777777" w:rsidR="0006118C" w:rsidRPr="0006118C" w:rsidRDefault="000C5B0F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05E4C9FE">
          <v:rect id="_x0000_i1035" style="width:0;height:1.5pt" o:hralign="center" o:hrstd="t" o:hr="t" fillcolor="#a0a0a0" stroked="f"/>
        </w:pict>
      </w:r>
    </w:p>
    <w:p w14:paraId="4A17D8C1" w14:textId="77777777" w:rsidR="0006118C" w:rsidRPr="0006118C" w:rsidRDefault="0006118C" w:rsidP="007B64ED">
      <w:pPr>
        <w:widowControl w:val="0"/>
        <w:spacing w:line="360" w:lineRule="auto"/>
        <w:jc w:val="both"/>
        <w:rPr>
          <w:rFonts w:ascii="Arial" w:hAnsi="Arial" w:cs="Arial"/>
          <w:b/>
          <w:bCs/>
        </w:rPr>
      </w:pPr>
      <w:r w:rsidRPr="0006118C">
        <w:rPr>
          <w:rFonts w:ascii="Arial" w:hAnsi="Arial" w:cs="Arial"/>
          <w:b/>
          <w:bCs/>
        </w:rPr>
        <w:t>8. Obowiązki Wykonawcy</w:t>
      </w:r>
    </w:p>
    <w:p w14:paraId="0FE33C88" w14:textId="77777777" w:rsidR="0006118C" w:rsidRPr="0006118C" w:rsidRDefault="0006118C" w:rsidP="007B64ED">
      <w:pPr>
        <w:widowControl w:val="0"/>
        <w:numPr>
          <w:ilvl w:val="0"/>
          <w:numId w:val="21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zabezpieczenie terenu robót oraz prowadzenie prac zgodnie z przepisami BHP, </w:t>
      </w:r>
    </w:p>
    <w:p w14:paraId="1B95EDC6" w14:textId="77777777" w:rsidR="0006118C" w:rsidRPr="0006118C" w:rsidRDefault="0006118C" w:rsidP="007B64ED">
      <w:pPr>
        <w:widowControl w:val="0"/>
        <w:numPr>
          <w:ilvl w:val="0"/>
          <w:numId w:val="21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współpraca z innymi wykonawcami, </w:t>
      </w:r>
    </w:p>
    <w:p w14:paraId="61CF7987" w14:textId="77777777" w:rsidR="0006118C" w:rsidRPr="0006118C" w:rsidRDefault="0006118C" w:rsidP="007B64ED">
      <w:pPr>
        <w:widowControl w:val="0"/>
        <w:numPr>
          <w:ilvl w:val="0"/>
          <w:numId w:val="21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lastRenderedPageBreak/>
        <w:t xml:space="preserve">utrzymanie porządku na terenie robót, </w:t>
      </w:r>
    </w:p>
    <w:p w14:paraId="6F761D83" w14:textId="77777777" w:rsidR="0006118C" w:rsidRPr="0006118C" w:rsidRDefault="0006118C" w:rsidP="007B64ED">
      <w:pPr>
        <w:widowControl w:val="0"/>
        <w:numPr>
          <w:ilvl w:val="0"/>
          <w:numId w:val="21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 xml:space="preserve">bieżące informowanie Zamawiającego o postępie prac, </w:t>
      </w:r>
    </w:p>
    <w:p w14:paraId="215712E4" w14:textId="77777777" w:rsidR="0006118C" w:rsidRPr="0006118C" w:rsidRDefault="0006118C" w:rsidP="007B64ED">
      <w:pPr>
        <w:widowControl w:val="0"/>
        <w:numPr>
          <w:ilvl w:val="0"/>
          <w:numId w:val="21"/>
        </w:numPr>
        <w:spacing w:line="360" w:lineRule="auto"/>
        <w:jc w:val="both"/>
        <w:rPr>
          <w:rFonts w:ascii="Arial" w:hAnsi="Arial" w:cs="Arial"/>
        </w:rPr>
      </w:pPr>
      <w:r w:rsidRPr="0006118C">
        <w:rPr>
          <w:rFonts w:ascii="Arial" w:hAnsi="Arial" w:cs="Arial"/>
        </w:rPr>
        <w:t>opracowanie kompletnej dokumentacji powykonawczej.</w:t>
      </w:r>
    </w:p>
    <w:p w14:paraId="247C88AD" w14:textId="77777777" w:rsidR="007D2ACC" w:rsidRPr="0006118C" w:rsidRDefault="007D2ACC" w:rsidP="007B64ED">
      <w:pPr>
        <w:widowControl w:val="0"/>
        <w:jc w:val="both"/>
        <w:rPr>
          <w:rFonts w:hint="eastAsia"/>
        </w:rPr>
      </w:pPr>
    </w:p>
    <w:sectPr w:rsidR="007D2ACC" w:rsidRPr="0006118C" w:rsidSect="007B64ED">
      <w:headerReference w:type="default" r:id="rId7"/>
      <w:footerReference w:type="default" r:id="rId8"/>
      <w:pgSz w:w="11906" w:h="16838"/>
      <w:pgMar w:top="1134" w:right="1134" w:bottom="1276" w:left="1134" w:header="708" w:footer="38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3C4ED" w14:textId="77777777" w:rsidR="000C5B0F" w:rsidRDefault="000C5B0F">
      <w:pPr>
        <w:rPr>
          <w:rFonts w:hint="eastAsia"/>
        </w:rPr>
      </w:pPr>
      <w:r>
        <w:separator/>
      </w:r>
    </w:p>
  </w:endnote>
  <w:endnote w:type="continuationSeparator" w:id="0">
    <w:p w14:paraId="3739293E" w14:textId="77777777" w:rsidR="000C5B0F" w:rsidRDefault="000C5B0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jaVu Sans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018CE" w14:textId="77777777" w:rsidR="007B64ED" w:rsidRDefault="007B64ED" w:rsidP="007B64ED">
    <w:pPr>
      <w:pStyle w:val="Stopka"/>
      <w:pBdr>
        <w:top w:val="single" w:sz="4" w:space="1" w:color="D9D9D9"/>
      </w:pBdr>
      <w:jc w:val="right"/>
      <w:rPr>
        <w:rFonts w:hint="eastAsia"/>
        <w:b/>
        <w:bCs/>
      </w:rPr>
    </w:pPr>
    <w:r>
      <w:fldChar w:fldCharType="begin"/>
    </w:r>
    <w:r>
      <w:instrText>PAGE   \* MERGEFORMAT</w:instrText>
    </w:r>
    <w:r>
      <w:fldChar w:fldCharType="separate"/>
    </w:r>
    <w:r w:rsidR="00221B5E" w:rsidRPr="00221B5E">
      <w:rPr>
        <w:rFonts w:hint="eastAsia"/>
        <w:b/>
        <w:bCs/>
        <w:noProof/>
      </w:rPr>
      <w:t>4</w:t>
    </w:r>
    <w:r>
      <w:rPr>
        <w:b/>
        <w:bCs/>
      </w:rPr>
      <w:fldChar w:fldCharType="end"/>
    </w:r>
    <w:r>
      <w:rPr>
        <w:b/>
        <w:bCs/>
      </w:rPr>
      <w:t xml:space="preserve"> | </w:t>
    </w:r>
    <w:r w:rsidRPr="007B64ED">
      <w:rPr>
        <w:color w:val="7F7F7F"/>
        <w:spacing w:val="60"/>
      </w:rPr>
      <w:t>Strona</w:t>
    </w:r>
  </w:p>
  <w:p w14:paraId="60247D69" w14:textId="77777777" w:rsidR="007B64ED" w:rsidRDefault="007B64ED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EA4944" w14:textId="77777777" w:rsidR="000C5B0F" w:rsidRDefault="000C5B0F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CB5D423" w14:textId="77777777" w:rsidR="000C5B0F" w:rsidRDefault="000C5B0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032299" w14:textId="77777777" w:rsidR="007B64ED" w:rsidRDefault="00A05664" w:rsidP="007B64ED">
    <w:pPr>
      <w:pStyle w:val="Nagwek"/>
      <w:jc w:val="center"/>
      <w:rPr>
        <w:rFonts w:hint="eastAsia"/>
      </w:rPr>
    </w:pPr>
    <w:r w:rsidRPr="00420420">
      <w:rPr>
        <w:noProof/>
        <w:lang w:eastAsia="pl-PL" w:bidi="ar-SA"/>
      </w:rPr>
      <w:drawing>
        <wp:inline distT="0" distB="0" distL="0" distR="0" wp14:anchorId="48754357" wp14:editId="55A53BDE">
          <wp:extent cx="5753100" cy="542925"/>
          <wp:effectExtent l="0" t="0" r="0" b="9525"/>
          <wp:docPr id="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588C"/>
    <w:multiLevelType w:val="multilevel"/>
    <w:tmpl w:val="66CAC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203FAB"/>
    <w:multiLevelType w:val="multilevel"/>
    <w:tmpl w:val="A6021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E75B81"/>
    <w:multiLevelType w:val="multilevel"/>
    <w:tmpl w:val="7B145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B31AD2"/>
    <w:multiLevelType w:val="multilevel"/>
    <w:tmpl w:val="2160C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2E6AE4"/>
    <w:multiLevelType w:val="multilevel"/>
    <w:tmpl w:val="E7D8C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3C6AB7"/>
    <w:multiLevelType w:val="hybridMultilevel"/>
    <w:tmpl w:val="7DC0B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A056A"/>
    <w:multiLevelType w:val="hybridMultilevel"/>
    <w:tmpl w:val="1444F982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12003CD3"/>
    <w:multiLevelType w:val="multilevel"/>
    <w:tmpl w:val="423E953A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8" w15:restartNumberingAfterBreak="0">
    <w:nsid w:val="18CF02F5"/>
    <w:multiLevelType w:val="multilevel"/>
    <w:tmpl w:val="5DB8E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EB245A"/>
    <w:multiLevelType w:val="hybridMultilevel"/>
    <w:tmpl w:val="AFCCAF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118B7"/>
    <w:multiLevelType w:val="multilevel"/>
    <w:tmpl w:val="C598D20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1" w15:restartNumberingAfterBreak="0">
    <w:nsid w:val="1CEE1D4D"/>
    <w:multiLevelType w:val="multilevel"/>
    <w:tmpl w:val="97866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1A5A06"/>
    <w:multiLevelType w:val="multilevel"/>
    <w:tmpl w:val="DF067E4A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3" w15:restartNumberingAfterBreak="0">
    <w:nsid w:val="29571E65"/>
    <w:multiLevelType w:val="hybridMultilevel"/>
    <w:tmpl w:val="793A370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20F7709"/>
    <w:multiLevelType w:val="multilevel"/>
    <w:tmpl w:val="ADA2C42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5" w15:restartNumberingAfterBreak="0">
    <w:nsid w:val="566539BE"/>
    <w:multiLevelType w:val="hybridMultilevel"/>
    <w:tmpl w:val="D62E5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66848"/>
    <w:multiLevelType w:val="multilevel"/>
    <w:tmpl w:val="E0DC1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1C2485"/>
    <w:multiLevelType w:val="multilevel"/>
    <w:tmpl w:val="735E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9534EE"/>
    <w:multiLevelType w:val="multilevel"/>
    <w:tmpl w:val="8856F50C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9" w15:restartNumberingAfterBreak="0">
    <w:nsid w:val="6DF76C2D"/>
    <w:multiLevelType w:val="multilevel"/>
    <w:tmpl w:val="7BAA9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762A10"/>
    <w:multiLevelType w:val="hybridMultilevel"/>
    <w:tmpl w:val="D79E73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322F5D"/>
    <w:multiLevelType w:val="multilevel"/>
    <w:tmpl w:val="96581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18"/>
  </w:num>
  <w:num w:numId="4">
    <w:abstractNumId w:val="12"/>
  </w:num>
  <w:num w:numId="5">
    <w:abstractNumId w:val="14"/>
  </w:num>
  <w:num w:numId="6">
    <w:abstractNumId w:val="5"/>
  </w:num>
  <w:num w:numId="7">
    <w:abstractNumId w:val="9"/>
  </w:num>
  <w:num w:numId="8">
    <w:abstractNumId w:val="13"/>
  </w:num>
  <w:num w:numId="9">
    <w:abstractNumId w:val="20"/>
  </w:num>
  <w:num w:numId="10">
    <w:abstractNumId w:val="15"/>
  </w:num>
  <w:num w:numId="11">
    <w:abstractNumId w:val="17"/>
  </w:num>
  <w:num w:numId="12">
    <w:abstractNumId w:val="3"/>
  </w:num>
  <w:num w:numId="13">
    <w:abstractNumId w:val="11"/>
  </w:num>
  <w:num w:numId="14">
    <w:abstractNumId w:val="21"/>
  </w:num>
  <w:num w:numId="15">
    <w:abstractNumId w:val="4"/>
  </w:num>
  <w:num w:numId="16">
    <w:abstractNumId w:val="16"/>
  </w:num>
  <w:num w:numId="17">
    <w:abstractNumId w:val="8"/>
  </w:num>
  <w:num w:numId="18">
    <w:abstractNumId w:val="1"/>
  </w:num>
  <w:num w:numId="19">
    <w:abstractNumId w:val="19"/>
  </w:num>
  <w:num w:numId="20">
    <w:abstractNumId w:val="2"/>
  </w:num>
  <w:num w:numId="21">
    <w:abstractNumId w:val="0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ACC"/>
    <w:rsid w:val="00036B22"/>
    <w:rsid w:val="0003789F"/>
    <w:rsid w:val="0006118C"/>
    <w:rsid w:val="000C5B0F"/>
    <w:rsid w:val="000E1793"/>
    <w:rsid w:val="001045E9"/>
    <w:rsid w:val="001139C5"/>
    <w:rsid w:val="00146B38"/>
    <w:rsid w:val="001A62BD"/>
    <w:rsid w:val="001A74E3"/>
    <w:rsid w:val="00200EC1"/>
    <w:rsid w:val="002156F9"/>
    <w:rsid w:val="0021769F"/>
    <w:rsid w:val="00217794"/>
    <w:rsid w:val="00221913"/>
    <w:rsid w:val="00221B5E"/>
    <w:rsid w:val="002773DA"/>
    <w:rsid w:val="002F6315"/>
    <w:rsid w:val="0032361B"/>
    <w:rsid w:val="00346785"/>
    <w:rsid w:val="0038550F"/>
    <w:rsid w:val="00394CC1"/>
    <w:rsid w:val="003C3801"/>
    <w:rsid w:val="003C42E9"/>
    <w:rsid w:val="003C4DF5"/>
    <w:rsid w:val="003D0AC2"/>
    <w:rsid w:val="003E1E0B"/>
    <w:rsid w:val="003E758E"/>
    <w:rsid w:val="004100B9"/>
    <w:rsid w:val="00410CE1"/>
    <w:rsid w:val="00422C24"/>
    <w:rsid w:val="00495F57"/>
    <w:rsid w:val="004B1432"/>
    <w:rsid w:val="005661BD"/>
    <w:rsid w:val="0056694E"/>
    <w:rsid w:val="00595569"/>
    <w:rsid w:val="005F3223"/>
    <w:rsid w:val="00615238"/>
    <w:rsid w:val="00646B2D"/>
    <w:rsid w:val="00646C26"/>
    <w:rsid w:val="00692752"/>
    <w:rsid w:val="006D14BE"/>
    <w:rsid w:val="007133AB"/>
    <w:rsid w:val="00781673"/>
    <w:rsid w:val="0079005B"/>
    <w:rsid w:val="007918DE"/>
    <w:rsid w:val="007B64ED"/>
    <w:rsid w:val="007B7DBD"/>
    <w:rsid w:val="007D2ACC"/>
    <w:rsid w:val="007E7F8A"/>
    <w:rsid w:val="007F0EE3"/>
    <w:rsid w:val="00801EC4"/>
    <w:rsid w:val="00804A91"/>
    <w:rsid w:val="0086751F"/>
    <w:rsid w:val="008B7C70"/>
    <w:rsid w:val="008F0279"/>
    <w:rsid w:val="008F4273"/>
    <w:rsid w:val="009007E2"/>
    <w:rsid w:val="009202D7"/>
    <w:rsid w:val="009A1D58"/>
    <w:rsid w:val="009C0DD5"/>
    <w:rsid w:val="009F41FE"/>
    <w:rsid w:val="00A053E7"/>
    <w:rsid w:val="00A05664"/>
    <w:rsid w:val="00A231AB"/>
    <w:rsid w:val="00A25F52"/>
    <w:rsid w:val="00A33866"/>
    <w:rsid w:val="00A33FD0"/>
    <w:rsid w:val="00A433A3"/>
    <w:rsid w:val="00B25D4F"/>
    <w:rsid w:val="00BA0EFB"/>
    <w:rsid w:val="00C40AE0"/>
    <w:rsid w:val="00C818FB"/>
    <w:rsid w:val="00CC7308"/>
    <w:rsid w:val="00CC7717"/>
    <w:rsid w:val="00D10C78"/>
    <w:rsid w:val="00D840DB"/>
    <w:rsid w:val="00D858D8"/>
    <w:rsid w:val="00DD6738"/>
    <w:rsid w:val="00E63322"/>
    <w:rsid w:val="00E83B49"/>
    <w:rsid w:val="00E875AB"/>
    <w:rsid w:val="00F600BB"/>
    <w:rsid w:val="00FA34D8"/>
    <w:rsid w:val="00FB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FD764F"/>
  <w15:docId w15:val="{EF82E420-2F51-4FD7-B01D-7851F9AC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 Unicode MS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2">
    <w:name w:val="heading 2"/>
    <w:basedOn w:val="Heading"/>
    <w:next w:val="Textbody"/>
    <w:uiPriority w:val="9"/>
    <w:unhideWhenUsed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paragraph" w:styleId="Nagwek3">
    <w:name w:val="heading 3"/>
    <w:basedOn w:val="Heading"/>
    <w:next w:val="Textbody"/>
    <w:uiPriority w:val="9"/>
    <w:unhideWhenUsed/>
    <w:qFormat/>
    <w:pPr>
      <w:spacing w:before="140"/>
      <w:outlineLvl w:val="2"/>
    </w:pPr>
    <w:rPr>
      <w:rFonts w:ascii="Liberation Serif" w:eastAsia="NSimSun" w:hAnsi="Liberation Serif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118C"/>
    <w:pPr>
      <w:keepNext/>
      <w:spacing w:before="240" w:after="60"/>
      <w:outlineLvl w:val="3"/>
    </w:pPr>
    <w:rPr>
      <w:rFonts w:ascii="Calibri" w:eastAsia="Times New Roman" w:hAnsi="Calibri" w:cs="Mangal"/>
      <w:b/>
      <w:bCs/>
      <w:sz w:val="28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pPr>
      <w:suppressAutoHyphens/>
      <w:autoSpaceDN w:val="0"/>
      <w:textAlignment w:val="baseline"/>
    </w:pPr>
    <w:rPr>
      <w:rFonts w:ascii="DejaVu Sans" w:eastAsia="DejaVu Sans" w:hAnsi="DejaVu Sans" w:cs="DejaVu Sans"/>
      <w:color w:val="000000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3322"/>
    <w:rPr>
      <w:rFonts w:cs="Mangal"/>
      <w:sz w:val="20"/>
      <w:szCs w:val="18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63322"/>
    <w:rPr>
      <w:rFonts w:cs="Mangal"/>
      <w:kern w:val="3"/>
      <w:szCs w:val="18"/>
      <w:lang w:eastAsia="zh-CN" w:bidi="hi-IN"/>
    </w:rPr>
  </w:style>
  <w:style w:type="character" w:styleId="Odwoanieprzypisukocowego">
    <w:name w:val="endnote reference"/>
    <w:uiPriority w:val="99"/>
    <w:semiHidden/>
    <w:unhideWhenUsed/>
    <w:rsid w:val="00E63322"/>
    <w:rPr>
      <w:vertAlign w:val="superscript"/>
    </w:rPr>
  </w:style>
  <w:style w:type="character" w:customStyle="1" w:styleId="Nagwek4Znak">
    <w:name w:val="Nagłówek 4 Znak"/>
    <w:link w:val="Nagwek4"/>
    <w:uiPriority w:val="9"/>
    <w:semiHidden/>
    <w:rsid w:val="0006118C"/>
    <w:rPr>
      <w:rFonts w:ascii="Calibri" w:eastAsia="Times New Roman" w:hAnsi="Calibri" w:cs="Mangal"/>
      <w:b/>
      <w:bCs/>
      <w:kern w:val="3"/>
      <w:sz w:val="28"/>
      <w:szCs w:val="25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B64E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7B64ED"/>
    <w:rPr>
      <w:rFonts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7B64E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uiPriority w:val="99"/>
    <w:rsid w:val="007B64ED"/>
    <w:rPr>
      <w:rFonts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803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podsumowujący audyt energetyczny</vt:lpstr>
    </vt:vector>
  </TitlesOfParts>
  <Company/>
  <LinksUpToDate>false</LinksUpToDate>
  <CharactersWithSpaces>5610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podsumowujący audyt energetyczny</dc:title>
  <dc:subject/>
  <dc:creator>Piotr Oblekowski</dc:creator>
  <cp:keywords/>
  <dc:description/>
  <cp:lastModifiedBy>Konto Microsoft</cp:lastModifiedBy>
  <cp:revision>2</cp:revision>
  <cp:lastPrinted>2026-04-02T08:08:00Z</cp:lastPrinted>
  <dcterms:created xsi:type="dcterms:W3CDTF">2026-04-02T12:37:00Z</dcterms:created>
  <dcterms:modified xsi:type="dcterms:W3CDTF">2026-04-02T12:37:00Z</dcterms:modified>
</cp:coreProperties>
</file>